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ДОГОВОР ВОЗМЕЗДНОГО ОКАЗАНИЯ УСЛУГ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__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университет»</w:t>
      </w:r>
      <w:r>
        <w:rPr>
          <w:rFonts w:ascii="Times New Roman" w:hAnsi="Times New Roman"/>
          <w:sz w:val="22"/>
          <w:szCs w:val="22"/>
        </w:rPr>
        <w:t xml:space="preserve"> в лице </w:t>
      </w:r>
      <w:r>
        <w:rPr>
          <w:rFonts w:ascii="Times New Roman" w:hAnsi="Times New Roman"/>
          <w:sz w:val="22"/>
          <w:szCs w:val="22"/>
        </w:rPr>
        <w:t xml:space="preserve">в </w:t>
      </w:r>
      <w:r>
        <w:rPr>
          <w:rFonts w:ascii="Times New Roman" w:hAnsi="Times New Roman"/>
          <w:sz w:val="22"/>
          <w:szCs w:val="22"/>
        </w:rPr>
        <w:t xml:space="preserve">исполняющего обязанности ректора _______________________________________________ </w:t>
      </w:r>
      <w:r>
        <w:rPr>
          <w:rFonts w:ascii="Times New Roman" w:hAnsi="Times New Roman"/>
          <w:sz w:val="22"/>
          <w:szCs w:val="22"/>
        </w:rPr>
        <w:t xml:space="preserve">на основании Приказа о возложении полномочий ректора от</w:t>
      </w:r>
      <w:r>
        <w:rPr>
          <w:rFonts w:ascii="Times New Roman" w:hAnsi="Times New Roman"/>
          <w:sz w:val="22"/>
          <w:szCs w:val="22"/>
        </w:rPr>
        <w:t xml:space="preserve"> ___________№____________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sz w:val="22"/>
          <w:szCs w:val="22"/>
        </w:rPr>
        <w:t xml:space="preserve"> именуемого в дальнейшем</w:t>
      </w:r>
      <w:r>
        <w:rPr>
          <w:rFonts w:ascii="Times New Roman" w:hAnsi="Times New Roman"/>
          <w:sz w:val="22"/>
          <w:szCs w:val="22"/>
        </w:rPr>
        <w:t xml:space="preserve">, именуемого в дальнейшем "Заказчик", и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>
          <w:bottom w:val="single" w:color="000000" w:sz="12" w:space="18"/>
        </w:pBdr>
        <w:spacing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фамилия, 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договор 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tabs>
          <w:tab w:val="left" w:leader="none" w:pos="980"/>
          <w:tab w:val="left" w:leader="none" w:pos="993"/>
        </w:tabs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обязуется выполнить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(часов)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25"/>
        <w:gridCol w:w="425"/>
        <w:gridCol w:w="567"/>
        <w:gridCol w:w="709"/>
        <w:gridCol w:w="567"/>
        <w:gridCol w:w="577"/>
        <w:gridCol w:w="557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693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</w:t>
            </w:r>
            <w:r>
              <w:rPr>
                <w:rFonts w:ascii="Times New Roman" w:hAnsi="Times New Roman"/>
              </w:rPr>
              <w:t xml:space="preserve">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7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5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7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5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кафедрой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     Учебный отдел_____________________________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Проректор по </w:t>
      </w:r>
      <w:r>
        <w:rPr>
          <w:rFonts w:ascii="Times New Roman" w:hAnsi="Times New Roman"/>
          <w:sz w:val="22"/>
          <w:szCs w:val="22"/>
        </w:rPr>
        <w:t xml:space="preserve">образовательной деятельности и цифровой трансформации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право выполнить работы досрочно, по согласованию с учебным отделом.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1.3.1. Услуга считаются оказанной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расходы на проезд и проживание составляют___________________________________________________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/>
      <w:bookmarkStart w:id="0" w:name="_GoBack"/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_________________________________</w:t>
      </w:r>
      <w:r>
        <w:rPr>
          <w:rFonts w:ascii="Times New Roman" w:hAnsi="Times New Roman"/>
          <w:sz w:val="22"/>
          <w:szCs w:val="22"/>
          <w:u w:val="single"/>
        </w:rPr>
        <w:t xml:space="preserve">Ю.А. Ковшун</w:t>
      </w:r>
      <w:bookmarkEnd w:id="0"/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производится ежемесячно 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Уплата осуществляется из средств университета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договора, предупредив   Исполнителя   за 1 месяц до внесения изменений по данному договору.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Заказчик:    ФГБОУ ВО Дальневосточный 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/>
        <w:ind/>
        <w:rPr>
          <w:u w:val="single"/>
        </w:rPr>
      </w:pPr>
      <w:r>
        <w:rPr>
          <w:sz w:val="22"/>
          <w:szCs w:val="22"/>
          <w:u w:val="single"/>
        </w:rPr>
        <w:t xml:space="preserve">675005, г. Благовещенск, ул. Политехническая, 86, УФК по Амурской области (ФГБОУ  ВО  Дальневосточный ГАУ л/с  20236Х25590) 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№3 ДГУ Банка России//УФК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Амурской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области, г. Благовещенск. Номер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казначейского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счета: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03214643000000012300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 р/с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40102810245370000015, БИК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банка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011012100,</w:t>
      </w:r>
      <w:r/>
      <w:r>
        <w:rPr>
          <w:sz w:val="22"/>
          <w:szCs w:val="22"/>
          <w:u w:val="single"/>
        </w:rPr>
        <w:t xml:space="preserve"> </w:t>
      </w:r>
      <w:r>
        <w:rPr>
          <w:u w:val="single"/>
        </w:rPr>
      </w:r>
      <w:r>
        <w:rPr>
          <w:sz w:val="22"/>
          <w:szCs w:val="22"/>
          <w:u w:val="single"/>
        </w:rPr>
        <w:t xml:space="preserve">ИНН  2801028298.</w:t>
      </w:r>
      <w:r>
        <w:t xml:space="preserve"> </w:t>
      </w:r>
      <w:r/>
      <w:r>
        <w:rPr>
          <w:u w:val="single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_______________Н.С.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Декан факультета</w:t>
      </w:r>
      <w:r>
        <w:rPr>
          <w:rFonts w:ascii="Times New Roman" w:hAnsi="Times New Roman"/>
          <w:sz w:val="22"/>
          <w:szCs w:val="22"/>
        </w:rPr>
        <w:t xml:space="preserve">    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footnotePr/>
      <w:endnotePr/>
      <w:type w:val="nextPage"/>
      <w:pgSz w:h="16838" w:orient="portrait" w:w="11906"/>
      <w:pgMar w:top="284" w:right="567" w:bottom="284" w:left="144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 w:cs="Courier New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3"/>
    <w:next w:val="883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3"/>
    <w:next w:val="883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3"/>
    <w:next w:val="883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3"/>
    <w:next w:val="883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3"/>
    <w:next w:val="883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3"/>
    <w:next w:val="883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3"/>
    <w:next w:val="883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3"/>
    <w:next w:val="883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3"/>
    <w:next w:val="883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>
    <w:name w:val="Heading 1 Char"/>
    <w:basedOn w:val="884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8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8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84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84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84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84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84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8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3"/>
    <w:next w:val="883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84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3"/>
    <w:next w:val="883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84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3"/>
    <w:next w:val="883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84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8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849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0">
    <w:name w:val="Intense Quote"/>
    <w:basedOn w:val="883"/>
    <w:next w:val="883"/>
    <w:link w:val="85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1">
    <w:name w:val="Intense Quote Char"/>
    <w:basedOn w:val="884"/>
    <w:link w:val="8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2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3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54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56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857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8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9">
    <w:name w:val="Header"/>
    <w:basedOn w:val="883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Header Char"/>
    <w:basedOn w:val="884"/>
    <w:link w:val="859"/>
    <w:uiPriority w:val="99"/>
    <w:pPr>
      <w:pBdr/>
      <w:spacing/>
      <w:ind/>
    </w:pPr>
  </w:style>
  <w:style w:type="paragraph" w:styleId="861">
    <w:name w:val="Foot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Footer Char"/>
    <w:basedOn w:val="884"/>
    <w:link w:val="861"/>
    <w:uiPriority w:val="99"/>
    <w:pPr>
      <w:pBdr/>
      <w:spacing/>
      <w:ind/>
    </w:pPr>
  </w:style>
  <w:style w:type="paragraph" w:styleId="863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4">
    <w:name w:val="footnote text"/>
    <w:basedOn w:val="883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Footnote Text Char"/>
    <w:basedOn w:val="884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foot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88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8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  <w:rPr>
      <w:sz w:val="24"/>
      <w:szCs w:val="24"/>
    </w:rPr>
  </w:style>
  <w:style w:type="character" w:styleId="884" w:default="1">
    <w:name w:val="Default Paragraph Font"/>
    <w:semiHidden/>
    <w:pPr>
      <w:pBdr/>
      <w:spacing/>
      <w:ind/>
    </w:pPr>
  </w:style>
  <w:style w:type="table" w:styleId="885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semiHidden/>
    <w:pPr>
      <w:pBdr/>
      <w:spacing/>
      <w:ind/>
    </w:pPr>
  </w:style>
  <w:style w:type="paragraph" w:styleId="887">
    <w:name w:val="Plain Text"/>
    <w:basedOn w:val="883"/>
    <w:link w:val="891"/>
    <w:pPr>
      <w:pBdr/>
      <w:spacing/>
      <w:ind/>
    </w:pPr>
    <w:rPr>
      <w:rFonts w:ascii="Courier New" w:hAnsi="Courier New" w:cs="Courier New"/>
      <w:sz w:val="20"/>
      <w:szCs w:val="20"/>
    </w:rPr>
  </w:style>
  <w:style w:type="table" w:styleId="888">
    <w:name w:val="Table Grid"/>
    <w:basedOn w:val="88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Balloon Text"/>
    <w:basedOn w:val="88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90" w:customStyle="1">
    <w:name w:val="apple-converted-space"/>
    <w:pPr>
      <w:pBdr/>
      <w:spacing/>
      <w:ind/>
    </w:pPr>
  </w:style>
  <w:style w:type="character" w:styleId="891" w:customStyle="1">
    <w:name w:val="Текст Знак"/>
    <w:link w:val="887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5</cp:revision>
  <dcterms:created xsi:type="dcterms:W3CDTF">2025-06-20T04:03:00Z</dcterms:created>
  <dcterms:modified xsi:type="dcterms:W3CDTF">2025-10-30T07:52:31Z</dcterms:modified>
</cp:coreProperties>
</file>