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324E8" w14:textId="77777777" w:rsidR="00EB7560" w:rsidRPr="002D63D5" w:rsidRDefault="00EB7560" w:rsidP="00EB7560">
      <w:pPr>
        <w:spacing w:after="0" w:line="233" w:lineRule="auto"/>
        <w:ind w:firstLine="709"/>
        <w:jc w:val="right"/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  <w:lang w:eastAsia="ru-RU"/>
        </w:rPr>
      </w:pPr>
    </w:p>
    <w:p w14:paraId="641BB20B" w14:textId="77777777" w:rsidR="00EB7560" w:rsidRPr="002D63D5" w:rsidRDefault="00EB7560" w:rsidP="00EB7560">
      <w:pPr>
        <w:spacing w:after="0" w:line="233" w:lineRule="auto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2D63D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РЕШЕНИЕ</w:t>
      </w:r>
    </w:p>
    <w:p w14:paraId="158A4111" w14:textId="35733D94" w:rsidR="00EB7560" w:rsidRPr="002D63D5" w:rsidRDefault="00EB7560" w:rsidP="0033070A">
      <w:pPr>
        <w:spacing w:after="0" w:line="233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Ученого совета ФГБОУ ВО Дальневосточный ГАУ по вопросу «</w:t>
      </w:r>
      <w:r w:rsidR="0033070A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Итоги научно-исследователь</w:t>
      </w:r>
      <w:r w:rsidR="001945B3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ской работы университета за 202</w:t>
      </w:r>
      <w:r w:rsidR="00B74AA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</w:t>
      </w:r>
      <w:r w:rsidR="0033070A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год</w:t>
      </w:r>
      <w:r w:rsidR="00FB48D1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 Стратегия развития научной политики</w:t>
      </w:r>
      <w:r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»</w:t>
      </w:r>
    </w:p>
    <w:p w14:paraId="0A9C3E71" w14:textId="271420F6" w:rsidR="00FB48D1" w:rsidRPr="002D63D5" w:rsidRDefault="00FB48D1" w:rsidP="0033070A">
      <w:pPr>
        <w:spacing w:after="0" w:line="233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14:paraId="73EEE052" w14:textId="2B245787" w:rsidR="00EB7560" w:rsidRPr="002D63D5" w:rsidRDefault="007C39C0" w:rsidP="00EB7560">
      <w:pPr>
        <w:spacing w:after="0" w:line="233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</w:t>
      </w:r>
      <w:r w:rsidR="00EB7560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</w:t>
      </w:r>
      <w:r w:rsidR="00DB545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09.02.2026 г</w:t>
      </w:r>
      <w:r w:rsidR="00EB7560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80117B" w:rsidRPr="002D63D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</w:p>
    <w:p w14:paraId="2E209E01" w14:textId="77777777" w:rsidR="00EB7560" w:rsidRPr="00135A3F" w:rsidRDefault="00EB7560" w:rsidP="00EB7560">
      <w:pPr>
        <w:spacing w:after="0" w:line="233" w:lineRule="auto"/>
        <w:ind w:firstLine="709"/>
        <w:rPr>
          <w:rFonts w:ascii="Times New Roman" w:eastAsia="Times New Roman" w:hAnsi="Times New Roman" w:cs="Times New Roman"/>
          <w:spacing w:val="-6"/>
          <w:sz w:val="16"/>
          <w:szCs w:val="16"/>
          <w:lang w:eastAsia="ru-RU"/>
        </w:rPr>
      </w:pPr>
    </w:p>
    <w:p w14:paraId="576CCBDF" w14:textId="77777777" w:rsidR="00DB5456" w:rsidRPr="007C39C0" w:rsidRDefault="00DB5456" w:rsidP="00DB5456">
      <w:pPr>
        <w:pStyle w:val="a6"/>
        <w:suppressAutoHyphens/>
        <w:ind w:firstLine="709"/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Заслушав и обсудив доклад проректора по научной работе О.А. Селиховой и содоклад начальника управления развития образовательных программ З.А. Литвиновой, совет отмечает, что в Университете в 2025 г. проведена значительная работа по научному сопровождению АПК Амурской области, которая способствовала совершенствованию информационной, методической и кадровой обеспеченности образовательного процесса. </w:t>
      </w:r>
    </w:p>
    <w:p w14:paraId="03D5FE29" w14:textId="77777777" w:rsidR="00DB5456" w:rsidRPr="007C39C0" w:rsidRDefault="00DB5456" w:rsidP="00DB5456">
      <w:pPr>
        <w:pStyle w:val="a6"/>
        <w:suppressAutoHyphens/>
        <w:ind w:firstLine="709"/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В отчетном году учеными университета выполнены исследования под заказ индустрии по 12 темам, 1 тема по ГЗ Минсельхоза РФ и 3 в рамках ФП «Кадры в АПК». В декабре 2025 г. на заседаниях НТС состоялись защиты научных отчетов, по приоритетным направлениям НИР университета.</w:t>
      </w:r>
    </w:p>
    <w:p w14:paraId="43841DB2" w14:textId="77777777" w:rsidR="00DB5456" w:rsidRPr="007C39C0" w:rsidRDefault="00DB5456" w:rsidP="00DB545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За 2025 г. общий объем НИОКР составил 155400,5 тыс. рублей, что на 23,4% больше по сравнению с предыдущим годом. От реализации научно-технологической продукции получено 38565,7 тыс. рублей.  Зафиксировано усиление интеграции с научными организациями и предприятиями – заказчиками НИОКР: АО «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Корнцерн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ГРАНИТ», АО «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Аметис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», ООО «Институт космических исследований Земли», АО «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Листерра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», ЗАО «Сервис Газификация», АО «Август», ООО «Байкал», ООО «МЭЗ 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г.Белогорск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», АО «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Димское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», ООО «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Амурагрокомплекс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», ООО «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АмурАгроХолдинг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». Объем доходов по хоздоговорной и экспертной деятельности составил 33875,7 тыс. рублей. Лучшие показатели имеют: ФАЭ – 820,0 тыс., ФВМЗБ – 232,3 тыс. рублей на 1 ставку НПР.</w:t>
      </w:r>
    </w:p>
    <w:p w14:paraId="3E741559" w14:textId="77777777" w:rsidR="00DB5456" w:rsidRPr="007C39C0" w:rsidRDefault="00DB5456" w:rsidP="00DB545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Cs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spacing w:val="-6"/>
          <w:sz w:val="23"/>
          <w:szCs w:val="23"/>
          <w:lang w:eastAsia="ru-RU"/>
        </w:rPr>
        <w:t xml:space="preserve">Подготовка кадров высшей квалификации осуществляется по 8 научным специальностям (по ФГТ), численность аспирантов и соискателей ученой степени на 31.12.2025 составляла – 66 человек и 3 соискателя ученой степени. Эффективность работы аспирантуры за 2025 г. составила – 30 %. </w:t>
      </w:r>
      <w:r w:rsidRPr="007C39C0">
        <w:rPr>
          <w:rFonts w:ascii="Times New Roman" w:hAnsi="Times New Roman" w:cs="Times New Roman"/>
          <w:spacing w:val="-6"/>
          <w:sz w:val="23"/>
          <w:szCs w:val="23"/>
          <w:shd w:val="clear" w:color="auto" w:fill="FFFFFF"/>
        </w:rPr>
        <w:t xml:space="preserve">По итогам приемной кампании целевая квота на места по программам подготовки научных и научно-педагогических кадров выполнена на </w:t>
      </w:r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100%. Прикреплен 1 соискатель ученой степени кандидатов наук по научным специальностям 4.3.1 Технологии, машины и оборудование для АПК. По результатам конкурсного отбора аспиранту 2 года обучения по научной специальности 4.2.3 Инфекционные болезни и иммунология животных назначена стипендия 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Россельхозбанка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. В 2025 г. кандидатские диссертации по научной специальности 4.2.1 - защитил 1 человек, 4.3.1 - 3 человека и 4.1.1 - 1 человек. 4 выпускника аспирантуры получили положительные заключения по диссертации.</w:t>
      </w:r>
      <w:r w:rsidRPr="007C39C0">
        <w:rPr>
          <w:rFonts w:ascii="Times New Roman" w:eastAsia="Times New Roman" w:hAnsi="Times New Roman" w:cs="Times New Roman"/>
          <w:bCs/>
          <w:spacing w:val="-6"/>
          <w:sz w:val="23"/>
          <w:szCs w:val="23"/>
          <w:lang w:eastAsia="ru-RU"/>
        </w:rPr>
        <w:t xml:space="preserve"> На базе Университета действуют три диссертационных совета. В 2025 году состоялись защиты шести кандидатских диссертаций. </w:t>
      </w:r>
    </w:p>
    <w:p w14:paraId="0663CF74" w14:textId="77777777" w:rsidR="00DB5456" w:rsidRPr="007C39C0" w:rsidRDefault="00DB5456" w:rsidP="00DB545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Передан на 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госсортоиспытание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сорт ячменя Восток 24 и сорт сои Дипломат. Работниками Университета подготовлены: 1 монография, получено 63 патента. План научных мероприятий на 2025 г. выполнен в полном объеме – организовано и проведено 11 мероприятий, включая совещания регионального, федерального и международного уровней. По результатам работы конференций выпущено 7 сборников.  В 2025 г. опубликовано – 28 статей в журналах, входящих в RSCI, 6 статей - в 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Web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of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Science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или 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Scopus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, 778 публикаций размещено в базе данных РИНЦ, из них 121 статья – в журналах ВАК категории К1 (20) и К2 (101). </w:t>
      </w:r>
    </w:p>
    <w:p w14:paraId="3E1A39A2" w14:textId="77777777" w:rsidR="00DB5456" w:rsidRPr="007C39C0" w:rsidRDefault="00DB5456" w:rsidP="00DB545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В качестве премиальных и стимулирующих выплат ППС за научно-исследовательскую деятельность установлены доплаты на общую сумму – 8522 тыс. рублей, сумма премий, выплаченная за хоздоговоры по НИР составила – 14190 тыс. рублей, премия по рейтингу академической активности – 1536 тыс. рублей и за активную патентную работу выплачено – 542,1 тыс. рублей. </w:t>
      </w:r>
    </w:p>
    <w:p w14:paraId="0F21C0F0" w14:textId="2962282E" w:rsidR="00DB5456" w:rsidRPr="007C39C0" w:rsidRDefault="00DB5456" w:rsidP="00DB5456">
      <w:pPr>
        <w:suppressAutoHyphens/>
        <w:spacing w:after="0" w:line="240" w:lineRule="auto"/>
        <w:ind w:firstLine="709"/>
        <w:rPr>
          <w:rFonts w:ascii="Times New Roman" w:hAnsi="Times New Roman" w:cs="Times New Roman"/>
          <w:spacing w:val="-6"/>
          <w:sz w:val="23"/>
          <w:szCs w:val="23"/>
        </w:rPr>
      </w:pPr>
      <w:r w:rsidRPr="007C39C0">
        <w:rPr>
          <w:rFonts w:ascii="Times New Roman" w:hAnsi="Times New Roman" w:cs="Times New Roman"/>
          <w:spacing w:val="-6"/>
          <w:sz w:val="23"/>
          <w:szCs w:val="23"/>
        </w:rPr>
        <w:t>Всего, по заказу предприятий выполнено 22 договора на создание (передачу) научно-технической продукции. В 2025 году проведено 98 экспертиз: агрономическая, электротехническая, ветеринарная, лесотехническая, автотехническая</w:t>
      </w:r>
      <w:r w:rsidR="007C39C0" w:rsidRPr="007C39C0">
        <w:rPr>
          <w:rFonts w:ascii="Times New Roman" w:hAnsi="Times New Roman" w:cs="Times New Roman"/>
          <w:spacing w:val="-6"/>
          <w:sz w:val="23"/>
          <w:szCs w:val="23"/>
        </w:rPr>
        <w:t xml:space="preserve">, </w:t>
      </w:r>
      <w:r w:rsidRPr="007C39C0">
        <w:rPr>
          <w:rFonts w:ascii="Times New Roman" w:hAnsi="Times New Roman" w:cs="Times New Roman"/>
          <w:spacing w:val="-6"/>
          <w:sz w:val="23"/>
          <w:szCs w:val="23"/>
        </w:rPr>
        <w:t>экологическая</w:t>
      </w:r>
      <w:r w:rsidR="007C39C0" w:rsidRPr="007C39C0">
        <w:rPr>
          <w:rFonts w:ascii="Times New Roman" w:hAnsi="Times New Roman" w:cs="Times New Roman"/>
          <w:spacing w:val="-6"/>
          <w:sz w:val="23"/>
          <w:szCs w:val="23"/>
        </w:rPr>
        <w:t xml:space="preserve"> </w:t>
      </w:r>
      <w:r w:rsidR="007C39C0" w:rsidRPr="003374F6">
        <w:rPr>
          <w:rFonts w:ascii="Times New Roman" w:hAnsi="Times New Roman" w:cs="Times New Roman"/>
          <w:spacing w:val="-6"/>
          <w:sz w:val="23"/>
          <w:szCs w:val="23"/>
        </w:rPr>
        <w:t>и строительная</w:t>
      </w:r>
      <w:r w:rsidRPr="007C39C0">
        <w:rPr>
          <w:rFonts w:ascii="Times New Roman" w:hAnsi="Times New Roman" w:cs="Times New Roman"/>
          <w:spacing w:val="-6"/>
          <w:sz w:val="23"/>
          <w:szCs w:val="23"/>
        </w:rPr>
        <w:t xml:space="preserve">. Общий объем доходов от НИОКТР в 2025 г составил 77874,2 тыс. руб. Научно-исследовательский потенциал Университета представлен 10 научно-исследовательских лабораториями, 6 научно-производственными центрами. </w:t>
      </w:r>
    </w:p>
    <w:p w14:paraId="1CF37CCC" w14:textId="77777777" w:rsidR="00DB5456" w:rsidRPr="007C39C0" w:rsidRDefault="00DB5456" w:rsidP="00DB5456">
      <w:pPr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spacing w:val="-6"/>
          <w:sz w:val="23"/>
          <w:szCs w:val="23"/>
          <w:highlight w:val="yellow"/>
        </w:rPr>
      </w:pPr>
      <w:r w:rsidRPr="007C39C0">
        <w:rPr>
          <w:rFonts w:ascii="Times New Roman" w:eastAsia="Calibri" w:hAnsi="Times New Roman" w:cs="Times New Roman"/>
          <w:spacing w:val="-6"/>
          <w:sz w:val="23"/>
          <w:szCs w:val="23"/>
        </w:rPr>
        <w:t xml:space="preserve">Для реализации стратегического проекта «Создание сортов сельскохозяйственных культур и технологическое обеспечение их производства» приобретено лабораторное оборудование на сумму – 65434,7 тыс. рублей, в том числе 20383,9 тыс. руб. целевая субсидия МСХ РФ. </w:t>
      </w:r>
    </w:p>
    <w:p w14:paraId="44076E22" w14:textId="77777777" w:rsidR="00DB5456" w:rsidRPr="007C39C0" w:rsidRDefault="00DB5456" w:rsidP="00DB545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</w:pPr>
      <w:r w:rsidRPr="007C39C0">
        <w:rPr>
          <w:rFonts w:ascii="Times New Roman" w:hAnsi="Times New Roman" w:cs="Times New Roman"/>
          <w:color w:val="0F1115"/>
          <w:sz w:val="23"/>
          <w:szCs w:val="23"/>
          <w:shd w:val="clear" w:color="auto" w:fill="FFFFFF"/>
        </w:rPr>
        <w:t xml:space="preserve">Работа по международной деятельности в отчётном году показала положительную динамику. Проведено два международных научных мероприятия: выставка российских достижений в области биологии (г. Санья, Китай) и форум «Современные тенденции в селекции и </w:t>
      </w:r>
      <w:r w:rsidRPr="007C39C0">
        <w:rPr>
          <w:rFonts w:ascii="Times New Roman" w:hAnsi="Times New Roman" w:cs="Times New Roman"/>
          <w:color w:val="0F1115"/>
          <w:sz w:val="23"/>
          <w:szCs w:val="23"/>
          <w:shd w:val="clear" w:color="auto" w:fill="FFFFFF"/>
        </w:rPr>
        <w:lastRenderedPageBreak/>
        <w:t xml:space="preserve">семеноводстве сои» (г. Благовещенск), где университет представил результаты разработок и предложения по совместным исследованиям. Результаты исследований представлены на Российско-китайской конференции по аграрным технологиям (г. </w:t>
      </w:r>
      <w:proofErr w:type="spellStart"/>
      <w:r w:rsidRPr="007C39C0">
        <w:rPr>
          <w:rFonts w:ascii="Times New Roman" w:hAnsi="Times New Roman" w:cs="Times New Roman"/>
          <w:color w:val="0F1115"/>
          <w:sz w:val="23"/>
          <w:szCs w:val="23"/>
          <w:shd w:val="clear" w:color="auto" w:fill="FFFFFF"/>
        </w:rPr>
        <w:t>Хэйхэ</w:t>
      </w:r>
      <w:proofErr w:type="spellEnd"/>
      <w:r w:rsidRPr="007C39C0">
        <w:rPr>
          <w:rFonts w:ascii="Times New Roman" w:hAnsi="Times New Roman" w:cs="Times New Roman"/>
          <w:color w:val="0F1115"/>
          <w:sz w:val="23"/>
          <w:szCs w:val="23"/>
          <w:shd w:val="clear" w:color="auto" w:fill="FFFFFF"/>
        </w:rPr>
        <w:t xml:space="preserve">) и Китайской </w:t>
      </w:r>
      <w:proofErr w:type="spellStart"/>
      <w:r w:rsidRPr="007C39C0">
        <w:rPr>
          <w:rFonts w:ascii="Times New Roman" w:hAnsi="Times New Roman" w:cs="Times New Roman"/>
          <w:color w:val="0F1115"/>
          <w:sz w:val="23"/>
          <w:szCs w:val="23"/>
          <w:shd w:val="clear" w:color="auto" w:fill="FFFFFF"/>
        </w:rPr>
        <w:t>экспо</w:t>
      </w:r>
      <w:proofErr w:type="spellEnd"/>
      <w:r w:rsidRPr="007C39C0">
        <w:rPr>
          <w:rFonts w:ascii="Times New Roman" w:hAnsi="Times New Roman" w:cs="Times New Roman"/>
          <w:color w:val="0F1115"/>
          <w:sz w:val="23"/>
          <w:szCs w:val="23"/>
          <w:shd w:val="clear" w:color="auto" w:fill="FFFFFF"/>
        </w:rPr>
        <w:t xml:space="preserve"> (г. Шанхай). В 2025 году сотрудники университета в рамках академической мобильности прошли стажировки и изучили опыт применения наземной и воздушной беспилотной техники в ведущих научных и аграрных учреждениях Китая.</w:t>
      </w:r>
    </w:p>
    <w:p w14:paraId="6C18E7E3" w14:textId="77777777" w:rsidR="00DB5456" w:rsidRPr="007C39C0" w:rsidRDefault="00DB5456" w:rsidP="00DB545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В рамках программы стратегического академического лидерства «Приоритет-2030. Дальний Восток» в университете проведена научно-образовательная Летняя школа молодого селекционера «Инновации в селекции: наука и практика» – 30 участников (10 из других регионов РФ). В 2025 году проведено 6 научных мероприятий разного уровня. Студенты и молодые ученые университета принимали участие в различных мероприятиях, включая: Всероссийский конкурс студенческих работ «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Бетарен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Академия» (г. Москва), Инновационная выставка-конкурс «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АмурТехно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» (г. Благовещенск), Конгресс молодых ученых (Сочи), Российско-китайский семинар по сельскохозяйственным технологиям (г. Хэйхэ), Городской форум молодых ученых (Благовещенск). Молодыми учеными опубликовано 350 научных статей и получено 62 диплома. Студенты активно участвуют во Всероссийском конкурсе на лучшую научную работу, где в 2025 году несколько обучающихся заняли призовые места в 3 этапе: 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Мормыло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А.Р. (ФМСХ) – 1 место, Мироненко А.А. (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ФСиП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) – 3 место; лауреаты (4-10 места): Ус С.С. (ФМСХ), Черпак Ю.И. (ФЭФ), Котельников Д.Д. (ФВМЗБ), </w:t>
      </w:r>
      <w:proofErr w:type="spellStart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Галышев</w:t>
      </w:r>
      <w:proofErr w:type="spellEnd"/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 А.Н. (ФАЭ).</w:t>
      </w:r>
    </w:p>
    <w:p w14:paraId="1284F1FE" w14:textId="77777777" w:rsidR="00DB5456" w:rsidRPr="007C39C0" w:rsidRDefault="00DB5456" w:rsidP="00DB5456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В качестве проблемных вопросов в организации НИР следует отметить: </w:t>
      </w:r>
      <w:r w:rsidRPr="007C39C0">
        <w:rPr>
          <w:rFonts w:ascii="Times New Roman" w:hAnsi="Times New Roman" w:cs="Times New Roman"/>
          <w:spacing w:val="-6"/>
          <w:sz w:val="23"/>
          <w:szCs w:val="23"/>
        </w:rPr>
        <w:t>и</w:t>
      </w:r>
      <w:r w:rsidRPr="007C39C0">
        <w:rPr>
          <w:rStyle w:val="ac"/>
          <w:rFonts w:ascii="Times New Roman" w:hAnsi="Times New Roman" w:cs="Times New Roman"/>
          <w:b w:val="0"/>
          <w:bCs w:val="0"/>
          <w:color w:val="0F1115"/>
          <w:spacing w:val="-6"/>
          <w:sz w:val="23"/>
          <w:szCs w:val="23"/>
        </w:rPr>
        <w:t xml:space="preserve">сследования недостаточно сфокусированы на приоритетных направлениях </w:t>
      </w:r>
      <w:r w:rsidRPr="007C39C0">
        <w:rPr>
          <w:rStyle w:val="ac"/>
          <w:rFonts w:ascii="Times New Roman" w:hAnsi="Times New Roman" w:cs="Times New Roman"/>
          <w:b w:val="0"/>
          <w:bCs w:val="0"/>
          <w:color w:val="0F1115"/>
          <w:spacing w:val="-6"/>
          <w:sz w:val="23"/>
          <w:szCs w:val="23"/>
          <w:shd w:val="clear" w:color="auto" w:fill="FFFFFF"/>
        </w:rPr>
        <w:t>с использованием междисциплинарного подхода</w:t>
      </w:r>
      <w:r w:rsidRPr="007C39C0">
        <w:rPr>
          <w:rStyle w:val="ac"/>
          <w:rFonts w:ascii="Times New Roman" w:hAnsi="Times New Roman" w:cs="Times New Roman"/>
          <w:color w:val="0F1115"/>
          <w:spacing w:val="-6"/>
          <w:sz w:val="23"/>
          <w:szCs w:val="23"/>
          <w:shd w:val="clear" w:color="auto" w:fill="FFFFFF"/>
        </w:rPr>
        <w:t xml:space="preserve">, </w:t>
      </w:r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закрытость в обсуждении научных тематик (проектов), низкая публикационная активность научно-педагогических работников в высокорейтинговых журналах, молодых ученых и студентов, отсутствует вовлеченность в гранты, низкая эффективность подготовки научно-педагогических кадров, незначительный объем совместных научных исследований и проектов с ведущими вузами и НИИ.</w:t>
      </w:r>
    </w:p>
    <w:p w14:paraId="0A225A57" w14:textId="77777777" w:rsidR="002D63D5" w:rsidRPr="007C39C0" w:rsidRDefault="002D63D5" w:rsidP="002D63D5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ru-RU"/>
        </w:rPr>
        <w:t>СОВЕТ</w:t>
      </w:r>
      <w:bookmarkStart w:id="0" w:name="_GoBack"/>
      <w:bookmarkEnd w:id="0"/>
      <w:r w:rsidRPr="007C39C0">
        <w:rPr>
          <w:rFonts w:ascii="Times New Roman" w:eastAsia="Times New Roman" w:hAnsi="Times New Roman" w:cs="Times New Roman"/>
          <w:b/>
          <w:spacing w:val="-6"/>
          <w:sz w:val="23"/>
          <w:szCs w:val="23"/>
          <w:lang w:eastAsia="ru-RU"/>
        </w:rPr>
        <w:t xml:space="preserve"> РЕШАЕТ:</w:t>
      </w:r>
    </w:p>
    <w:p w14:paraId="62F0681C" w14:textId="618C21AF" w:rsidR="002D63D5" w:rsidRPr="007C39C0" w:rsidRDefault="002D63D5" w:rsidP="002D63D5">
      <w:pPr>
        <w:widowControl w:val="0"/>
        <w:tabs>
          <w:tab w:val="left" w:pos="4111"/>
          <w:tab w:val="left" w:pos="4395"/>
        </w:tabs>
        <w:spacing w:after="0" w:line="240" w:lineRule="auto"/>
        <w:ind w:firstLine="709"/>
        <w:rPr>
          <w:rFonts w:ascii="Times New Roman" w:hAnsi="Times New Roman" w:cs="Times New Roman"/>
          <w:spacing w:val="-6"/>
          <w:sz w:val="23"/>
          <w:szCs w:val="23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1. </w:t>
      </w:r>
      <w:r w:rsidRPr="007C39C0">
        <w:rPr>
          <w:rFonts w:ascii="Times New Roman" w:hAnsi="Times New Roman" w:cs="Times New Roman"/>
          <w:spacing w:val="-6"/>
          <w:sz w:val="23"/>
          <w:szCs w:val="23"/>
        </w:rPr>
        <w:t>Итоги научно-исследовательской работы университета за 202</w:t>
      </w:r>
      <w:r w:rsidR="003146D6" w:rsidRPr="007C39C0">
        <w:rPr>
          <w:rFonts w:ascii="Times New Roman" w:hAnsi="Times New Roman" w:cs="Times New Roman"/>
          <w:spacing w:val="-6"/>
          <w:sz w:val="23"/>
          <w:szCs w:val="23"/>
        </w:rPr>
        <w:t>5</w:t>
      </w:r>
      <w:r w:rsidRPr="007C39C0">
        <w:rPr>
          <w:rFonts w:ascii="Times New Roman" w:hAnsi="Times New Roman" w:cs="Times New Roman"/>
          <w:spacing w:val="-6"/>
          <w:sz w:val="23"/>
          <w:szCs w:val="23"/>
        </w:rPr>
        <w:t xml:space="preserve"> год 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признать </w:t>
      </w:r>
      <w:r w:rsidR="006B088D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_</w:t>
      </w:r>
      <w:r w:rsidR="00DF28F1" w:rsidRPr="00DF28F1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u w:val="single"/>
          <w:lang w:eastAsia="ru-RU"/>
        </w:rPr>
        <w:t>удовлетворительными</w:t>
      </w:r>
      <w:r w:rsidR="006B088D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_____________________________</w:t>
      </w:r>
    </w:p>
    <w:p w14:paraId="6B149E4C" w14:textId="07966D90" w:rsidR="006B088D" w:rsidRPr="007C39C0" w:rsidRDefault="002D63D5" w:rsidP="006B088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2. </w:t>
      </w:r>
      <w:r w:rsidR="006B088D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Разработать и представить на утверждение Регламент согласования тем диссертационных работ аспирантов </w:t>
      </w:r>
      <w:r w:rsidR="006B088D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с основными стратегическими направлениями научно-технологического развития РФ и Университета.</w:t>
      </w:r>
    </w:p>
    <w:p w14:paraId="1109C1B9" w14:textId="63E5B53E" w:rsidR="006B088D" w:rsidRPr="007C39C0" w:rsidRDefault="006B088D" w:rsidP="006B088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Ответственный: </w:t>
      </w:r>
      <w:r w:rsidR="00AF3C36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начальник ОПНПК, начальник НИЧ</w:t>
      </w:r>
    </w:p>
    <w:p w14:paraId="45234A87" w14:textId="056A51EB" w:rsidR="000468F0" w:rsidRPr="007C39C0" w:rsidRDefault="006B088D" w:rsidP="000468F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Срок исполнения: </w:t>
      </w:r>
      <w:r w:rsidR="000468F0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– 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до 01.0</w:t>
      </w:r>
      <w:r w:rsidR="003374F6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4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.2026 г.</w:t>
      </w:r>
    </w:p>
    <w:p w14:paraId="458092D4" w14:textId="770108DC" w:rsidR="00630676" w:rsidRPr="007C39C0" w:rsidRDefault="00630676" w:rsidP="006306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3.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Разработать и представить Регламент согласования тем выпускных квалификационных работ (ВКР) и научно-исследовательской работы (НИР) магистрантов с научными проектами. </w:t>
      </w:r>
    </w:p>
    <w:p w14:paraId="708DA28F" w14:textId="77777777" w:rsidR="00630676" w:rsidRPr="007C39C0" w:rsidRDefault="00630676" w:rsidP="0063067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Ответственный: начальник УРОП, начальник УОУП, начальник НИЧ.</w:t>
      </w:r>
    </w:p>
    <w:p w14:paraId="4FE118DA" w14:textId="4AFAD072" w:rsidR="000468F0" w:rsidRPr="007C39C0" w:rsidRDefault="00630676" w:rsidP="00026E99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Срок исполнения: – до 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01.03.2026 г.</w:t>
      </w:r>
    </w:p>
    <w:p w14:paraId="679CDDDD" w14:textId="29FDC5E0" w:rsidR="000468F0" w:rsidRPr="007C39C0" w:rsidRDefault="004C6C88" w:rsidP="000468F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4</w:t>
      </w:r>
      <w:r w:rsidR="000468F0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. Разработать и представить на утверждение Положение об Экспертном совете.</w:t>
      </w:r>
    </w:p>
    <w:p w14:paraId="07F846BF" w14:textId="5111C5D6" w:rsidR="000468F0" w:rsidRPr="007C39C0" w:rsidRDefault="000468F0" w:rsidP="000468F0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Ответственный: начальник УРОП. Срок исполнения: </w:t>
      </w:r>
      <w:r w:rsidR="004C6C88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– 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до 01.04.2026 г.</w:t>
      </w:r>
    </w:p>
    <w:p w14:paraId="700492E8" w14:textId="4CB6673D" w:rsidR="003374F6" w:rsidRPr="007C39C0" w:rsidRDefault="004C6C88" w:rsidP="003374F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>5</w:t>
      </w:r>
      <w:r w:rsidR="002D63D5" w:rsidRPr="007C39C0">
        <w:rPr>
          <w:rFonts w:ascii="Times New Roman" w:eastAsia="Times New Roman" w:hAnsi="Times New Roman" w:cs="Times New Roman"/>
          <w:spacing w:val="-6"/>
          <w:sz w:val="23"/>
          <w:szCs w:val="23"/>
          <w:lang w:eastAsia="ru-RU"/>
        </w:rPr>
        <w:t xml:space="preserve">. </w:t>
      </w:r>
      <w:bookmarkStart w:id="1" w:name="_Hlk156986695"/>
      <w:r w:rsidR="003374F6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Разработать план мероприятий по повышению эффективности деятельности аспирантуры. </w:t>
      </w:r>
    </w:p>
    <w:p w14:paraId="7A84C08B" w14:textId="36A4C0F1" w:rsidR="003374F6" w:rsidRPr="007C39C0" w:rsidRDefault="003374F6" w:rsidP="003374F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Ответственные: проректор по НР, начальник ОПНК, деканы.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Срок исполнения – 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01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5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 xml:space="preserve">.2026. </w:t>
      </w:r>
    </w:p>
    <w:bookmarkEnd w:id="1"/>
    <w:p w14:paraId="39A87F7D" w14:textId="6220A596" w:rsidR="003146D6" w:rsidRPr="007C39C0" w:rsidRDefault="004C6C88" w:rsidP="003146D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6</w:t>
      </w:r>
      <w:r w:rsidR="003146D6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. Создать вкладку в разделе диссертационные советы на сайте университета и разработать локально нормативные акты, регламентирующие деятельность диссертационных советов с последующим их размещением. </w:t>
      </w:r>
    </w:p>
    <w:p w14:paraId="1E6CC5FD" w14:textId="38EB1B2C" w:rsidR="003146D6" w:rsidRPr="007C39C0" w:rsidRDefault="003146D6" w:rsidP="003146D6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Ответственные: </w:t>
      </w:r>
      <w:r w:rsidR="000468F0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п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роректор по НР, </w:t>
      </w:r>
      <w:r w:rsidR="000468F0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н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ачальник ОПНР, ученые секретари диссертационных советов. Срок исполнения – 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до 01.10.2026.</w:t>
      </w:r>
    </w:p>
    <w:p w14:paraId="338D2D80" w14:textId="77777777" w:rsidR="00593C4E" w:rsidRPr="007C39C0" w:rsidRDefault="002D63D5" w:rsidP="002D63D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7. Утвердить рейтинг академической активности ППС университета на 202</w:t>
      </w:r>
      <w:r w:rsidR="003146D6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6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год. </w:t>
      </w:r>
    </w:p>
    <w:p w14:paraId="6AF3E2AC" w14:textId="0EECF55A" w:rsidR="002D63D5" w:rsidRPr="007C39C0" w:rsidRDefault="002D63D5" w:rsidP="002D63D5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Ответственные: проректор по НР, ответственные по научной работе, деканы. Срок исполнения – </w:t>
      </w:r>
      <w:r w:rsidR="003146D6"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03.03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.202</w:t>
      </w:r>
      <w:r w:rsidR="00733451"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6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.</w:t>
      </w:r>
    </w:p>
    <w:p w14:paraId="4B637D2D" w14:textId="31DF734B" w:rsidR="00835603" w:rsidRPr="007C39C0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8. Предусмотреть в бюджете университета на 202</w:t>
      </w:r>
      <w:r w:rsidR="003146D6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6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г. средства для премирования НПР университета за публикацию статьи в журналах</w:t>
      </w:r>
      <w:r w:rsidR="009E0BE2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ВАК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: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К1 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– до </w:t>
      </w:r>
      <w:r w:rsidR="009E0BE2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2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0 тыс. руб.; К2 – до 10 тыс. руб.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="009E0BE2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В журналах ЕГПНИ У1- до 30 тыс. руб., У2 – до 20 тыс. руб</w:t>
      </w:r>
      <w:r w:rsidR="00B117F2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.</w:t>
      </w:r>
      <w:r w:rsidR="00041A49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(</w:t>
      </w:r>
      <w:r w:rsidR="00B117F2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при условии </w:t>
      </w:r>
      <w:r w:rsidR="00041A49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ВАК не ниже К2</w:t>
      </w:r>
      <w:r w:rsidR="00B117F2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или журнал входящий в международную базу данных, рекомендованную ВАК</w:t>
      </w:r>
      <w:r w:rsidR="00041A49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)</w:t>
      </w:r>
      <w:r w:rsidR="009E0BE2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.</w:t>
      </w:r>
      <w:r w:rsidR="00835603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="00041A49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За публикацию статьи в журналах </w:t>
      </w:r>
      <w:r w:rsidR="00276601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val="en-US" w:eastAsia="ru-RU"/>
        </w:rPr>
        <w:t>Web</w:t>
      </w:r>
      <w:r w:rsidR="00276601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="00276601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val="en-US" w:eastAsia="ru-RU"/>
        </w:rPr>
        <w:t>of</w:t>
      </w:r>
      <w:r w:rsidR="00276601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="00276601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val="en-US" w:eastAsia="ru-RU"/>
        </w:rPr>
        <w:t>Science</w:t>
      </w:r>
      <w:r w:rsidR="00276601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, </w:t>
      </w:r>
      <w:r w:rsidR="00041A49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val="en-US" w:eastAsia="ru-RU"/>
        </w:rPr>
        <w:t>Scopus</w:t>
      </w:r>
      <w:r w:rsidR="00041A49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– 40 тыс. руб.</w:t>
      </w:r>
    </w:p>
    <w:p w14:paraId="294BC710" w14:textId="42C5F5A6" w:rsidR="002D63D5" w:rsidRPr="007C39C0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Ответственные: проректор по НР, начальник ФЭУ, главный бухгалтер.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Срок исполнения – 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03.0</w:t>
      </w:r>
      <w:r w:rsidR="009E0BE2"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3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.202</w:t>
      </w:r>
      <w:r w:rsidR="009E0BE2"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6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.</w:t>
      </w:r>
    </w:p>
    <w:p w14:paraId="1F599076" w14:textId="0BA3DC3B" w:rsidR="00AF01ED" w:rsidRPr="007C39C0" w:rsidRDefault="002D63D5" w:rsidP="00AF01ED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lastRenderedPageBreak/>
        <w:t>9. Установить на 202</w:t>
      </w:r>
      <w:r w:rsidR="003146D6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6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год ежемесячную доплату сотрудникам университета за публикацию статей в журналах, включенных в: 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К1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– 8 тыс. руб.; К2 – 5 тыс. руб.</w:t>
      </w:r>
      <w:r w:rsidR="009E0BE2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, в </w:t>
      </w:r>
      <w:r w:rsidR="009E0BE2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журналах ЕГПНИ У1- 10 тыс. руб., У2 – до 8 тыс. </w:t>
      </w:r>
      <w:proofErr w:type="spellStart"/>
      <w:r w:rsidR="009E0BE2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руб</w:t>
      </w:r>
      <w:proofErr w:type="spellEnd"/>
      <w:r w:rsidR="00E76D14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(при условии ВАК не ниже К2 или журнал входящий в международную базу данных, рекомендованную ВАК)</w:t>
      </w:r>
      <w:r w:rsidR="009E0BE2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.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="00AF01ED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За увеличение индекса </w:t>
      </w:r>
      <w:proofErr w:type="spellStart"/>
      <w:r w:rsidR="00AF01ED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Хирша</w:t>
      </w:r>
      <w:proofErr w:type="spellEnd"/>
      <w:r w:rsidR="00AF01ED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по ядру РИНЦ, без учета </w:t>
      </w:r>
      <w:proofErr w:type="spellStart"/>
      <w:r w:rsidR="00AF01ED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самоцитирования</w:t>
      </w:r>
      <w:proofErr w:type="spellEnd"/>
      <w:r w:rsidR="00AF01ED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от 3 до 4 – 2 тыс. руб., от 5 до 6 – 4 тыс. руб., от 7 и более – 6 тыс.</w:t>
      </w:r>
      <w:r w:rsidR="00B117F2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="00AF01ED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руб.</w:t>
      </w:r>
    </w:p>
    <w:p w14:paraId="5B207DEA" w14:textId="4A175CFE" w:rsidR="002D63D5" w:rsidRPr="007C39C0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Ответственные: проректор по НР, начальник НИЧ, начальник ФЭУ, главный бухгалтер. Срок исполнения– 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0</w:t>
      </w:r>
      <w:r w:rsidR="009E0BE2"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3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.0</w:t>
      </w:r>
      <w:r w:rsidR="009E0BE2"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3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.202</w:t>
      </w:r>
      <w:r w:rsidR="009E0BE2"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6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.</w:t>
      </w:r>
    </w:p>
    <w:p w14:paraId="088B5054" w14:textId="752999DB" w:rsidR="002D63D5" w:rsidRPr="007C39C0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bookmarkStart w:id="2" w:name="_Hlk158122622"/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10. Предусмотреть в бюджете университета </w:t>
      </w:r>
      <w:bookmarkEnd w:id="2"/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на 202</w:t>
      </w:r>
      <w:r w:rsidR="009E0BE2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6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год финансирование для выплаты материального вознаграждения штатным работникам университета: </w:t>
      </w:r>
    </w:p>
    <w:p w14:paraId="63956395" w14:textId="576501F7" w:rsidR="002D63D5" w:rsidRPr="007C39C0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- за защиту докторской диссертации – до 150 тыс. руб.; кандидатской – до 50 тыс. руб.</w:t>
      </w:r>
      <w:r w:rsidR="00E76D14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;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</w:t>
      </w:r>
    </w:p>
    <w:p w14:paraId="751A2663" w14:textId="28448D04" w:rsidR="002D63D5" w:rsidRPr="007C39C0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- за подготовку для Дальневосточного ГАУ доктора наук – до 150 тыс. руб. </w:t>
      </w:r>
    </w:p>
    <w:p w14:paraId="073FAD50" w14:textId="59094FC6" w:rsidR="002D63D5" w:rsidRPr="007C39C0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кандидата наук – до 50 тыс. руб.</w:t>
      </w:r>
      <w:r w:rsidR="00E76D14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;</w:t>
      </w:r>
    </w:p>
    <w:p w14:paraId="30E88797" w14:textId="575AF48F" w:rsidR="002D63D5" w:rsidRPr="007C39C0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- за подготовку и издание монографии – до </w:t>
      </w:r>
      <w:r w:rsidR="009E0BE2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5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0 тыс. руб. в долях участия</w:t>
      </w:r>
      <w:r w:rsidR="00E76D14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;</w:t>
      </w:r>
    </w:p>
    <w:p w14:paraId="63A6882A" w14:textId="6DF77331" w:rsidR="002D63D5" w:rsidRPr="007C39C0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- за создание нового сорта, в долях участия – 200 тыс. рублей;</w:t>
      </w:r>
    </w:p>
    <w:p w14:paraId="06C2AB12" w14:textId="32D50976" w:rsidR="002D63D5" w:rsidRPr="007C39C0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- за получение патента на изобретение,</w:t>
      </w:r>
      <w:r w:rsidR="003212CA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полезную модель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в долях участия – 10 тыс. рублей</w:t>
      </w:r>
      <w:r w:rsidR="003212CA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;</w:t>
      </w:r>
    </w:p>
    <w:p w14:paraId="33716949" w14:textId="20E0D9C8" w:rsidR="00933B37" w:rsidRPr="007C39C0" w:rsidRDefault="003212CA" w:rsidP="00933B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- за получение патента на программу ЭВМ, в долях участия – 5 тыс. рублей.</w:t>
      </w:r>
    </w:p>
    <w:p w14:paraId="75299605" w14:textId="1DAE2EF7" w:rsidR="002D63D5" w:rsidRPr="007C39C0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Ответственные: проректор по НР, начальник ФЭУ, главный бухгалтер. Срок исполнения – </w:t>
      </w:r>
      <w:r w:rsidR="009E0BE2"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03.03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.202</w:t>
      </w:r>
      <w:r w:rsidR="009E0BE2"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6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 xml:space="preserve">. </w:t>
      </w:r>
    </w:p>
    <w:p w14:paraId="1C18EE9E" w14:textId="77777777" w:rsidR="00593C4E" w:rsidRPr="007C39C0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11</w:t>
      </w:r>
      <w:r w:rsidRPr="007C39C0">
        <w:rPr>
          <w:rFonts w:ascii="Times New Roman" w:eastAsia="Times New Roman" w:hAnsi="Times New Roman" w:cs="Times New Roman"/>
          <w:bCs/>
          <w:iCs/>
          <w:color w:val="000000" w:themeColor="text1"/>
          <w:spacing w:val="-6"/>
          <w:sz w:val="23"/>
          <w:szCs w:val="23"/>
          <w:lang w:eastAsia="ru-RU"/>
        </w:rPr>
        <w:t>.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Обеспечить доход от реализации НИОКР за счет внебюджетных средств в 202</w:t>
      </w:r>
      <w:r w:rsidR="009E0BE2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6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году в соответствии со стратегией развития Университета в объеме </w:t>
      </w:r>
      <w:r w:rsidR="009E0BE2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92,8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 тыс. рублей. </w:t>
      </w:r>
    </w:p>
    <w:p w14:paraId="576D3EC4" w14:textId="03166291" w:rsidR="002D63D5" w:rsidRPr="007C39C0" w:rsidRDefault="002D63D5" w:rsidP="002D63D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Ответственные: </w:t>
      </w:r>
      <w:r w:rsidR="00E76D14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п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роректор по НР, начальник НИЧ, деканы. Срок исполнения – 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до 31.12.202</w:t>
      </w:r>
      <w:r w:rsidR="009E0BE2"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>6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 xml:space="preserve">. </w:t>
      </w:r>
    </w:p>
    <w:p w14:paraId="1B254E65" w14:textId="4010706D" w:rsidR="003212CA" w:rsidRPr="007C39C0" w:rsidRDefault="009E0BE2" w:rsidP="003212C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1</w:t>
      </w:r>
      <w:r w:rsidR="00026E99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3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. Создать научно-исследовательский испытательный центр ветеринарной медицины (НИИЦ </w:t>
      </w:r>
      <w:proofErr w:type="spellStart"/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ВетМед</w:t>
      </w:r>
      <w:proofErr w:type="spellEnd"/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) </w:t>
      </w:r>
      <w:r w:rsidR="003212CA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и разработать локальные нормативные акты, регламентирующие его деятельность.</w:t>
      </w:r>
    </w:p>
    <w:p w14:paraId="2CE8E4F7" w14:textId="320699F9" w:rsidR="003212CA" w:rsidRPr="007C39C0" w:rsidRDefault="003212CA" w:rsidP="003212C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Ответственные: начальник НИЧ, декан ФВМЗБ, начальник ФЭУ.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Срок исполнения – 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 xml:space="preserve">до 30.04.2026. </w:t>
      </w:r>
    </w:p>
    <w:p w14:paraId="0AB1F859" w14:textId="48D0E2CA" w:rsidR="003212CA" w:rsidRPr="007C39C0" w:rsidRDefault="003212CA" w:rsidP="003212C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1</w:t>
      </w:r>
      <w:r w:rsidR="00026E99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4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. Создать </w:t>
      </w:r>
      <w:r w:rsidR="009E0BE2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Центр лабораторной диагностики незаразных болезней животных 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и разработать локальные нормативные акты, регламентирующие его деятельность.</w:t>
      </w:r>
    </w:p>
    <w:p w14:paraId="68911238" w14:textId="6D0F9356" w:rsidR="003212CA" w:rsidRPr="007C39C0" w:rsidRDefault="003212CA" w:rsidP="003212C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>Ответственные: начальник НИЧ, декан ФВМЗБ, начальник ФЭУ.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 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Срок исполнения – 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 xml:space="preserve">до 30.04.2026. </w:t>
      </w:r>
    </w:p>
    <w:p w14:paraId="42A8ED50" w14:textId="207B7606" w:rsidR="003374F6" w:rsidRPr="003374F6" w:rsidRDefault="00933B37" w:rsidP="003212C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1</w:t>
      </w:r>
      <w:r w:rsidR="00026E99"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>5</w:t>
      </w:r>
      <w:r w:rsidRPr="007C39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. </w:t>
      </w:r>
      <w:r w:rsidRPr="003374F6">
        <w:rPr>
          <w:rFonts w:ascii="Times New Roman" w:eastAsia="Times New Roman" w:hAnsi="Times New Roman" w:cs="Times New Roman"/>
          <w:bCs/>
          <w:color w:val="000000" w:themeColor="text1"/>
          <w:spacing w:val="-6"/>
          <w:sz w:val="23"/>
          <w:szCs w:val="23"/>
          <w:lang w:eastAsia="ru-RU"/>
        </w:rPr>
        <w:t xml:space="preserve">Предусмотреть </w:t>
      </w:r>
      <w:r w:rsidR="003374F6" w:rsidRPr="003374F6">
        <w:rPr>
          <w:rStyle w:val="ac"/>
          <w:rFonts w:ascii="Times New Roman" w:hAnsi="Times New Roman" w:cs="Times New Roman"/>
          <w:b w:val="0"/>
          <w:bCs w:val="0"/>
          <w:color w:val="0F1115"/>
          <w:shd w:val="clear" w:color="auto" w:fill="FFFFFF"/>
        </w:rPr>
        <w:t>целевой фонд развития материально-технической базы университета в размере 10% от накладных расходов по всем хоздоговорам, выполняемым профессорско-преподавательским составом университета.</w:t>
      </w:r>
    </w:p>
    <w:p w14:paraId="52D252C9" w14:textId="736DC30A" w:rsidR="00933B37" w:rsidRPr="007C39C0" w:rsidRDefault="00933B37" w:rsidP="00933B3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lang w:eastAsia="ru-RU"/>
        </w:rPr>
        <w:t xml:space="preserve">Ответственные: проректор по НР, начальник ФЭУ, главный бухгалтер. Срок исполнения – </w:t>
      </w:r>
      <w:r w:rsidRPr="007C39C0">
        <w:rPr>
          <w:rFonts w:ascii="Times New Roman" w:eastAsia="Times New Roman" w:hAnsi="Times New Roman" w:cs="Times New Roman"/>
          <w:b/>
          <w:color w:val="000000" w:themeColor="text1"/>
          <w:spacing w:val="-6"/>
          <w:sz w:val="23"/>
          <w:szCs w:val="23"/>
          <w:lang w:eastAsia="ru-RU"/>
        </w:rPr>
        <w:t xml:space="preserve">03.03.2026. </w:t>
      </w:r>
    </w:p>
    <w:p w14:paraId="108A3C94" w14:textId="7C3273AF" w:rsidR="00B973E0" w:rsidRPr="007C39C0" w:rsidRDefault="00D269DF" w:rsidP="00E76D14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 w:themeColor="text1"/>
          <w:spacing w:val="-6"/>
          <w:sz w:val="23"/>
          <w:szCs w:val="23"/>
        </w:rPr>
      </w:pP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>1</w:t>
      </w:r>
      <w:r w:rsidR="00026E99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>6</w:t>
      </w:r>
      <w:r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 xml:space="preserve">. Контроль за выполнением решения Ученого совета возложить на </w:t>
      </w:r>
      <w:r w:rsidR="003212CA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</w:rPr>
        <w:t>начальника управления развития образовательных программ З.А. Литвинову</w:t>
      </w:r>
      <w:r w:rsidR="003212CA" w:rsidRPr="007C39C0">
        <w:rPr>
          <w:rFonts w:ascii="Times New Roman" w:eastAsia="Times New Roman" w:hAnsi="Times New Roman" w:cs="Times New Roman"/>
          <w:color w:val="000000" w:themeColor="text1"/>
          <w:spacing w:val="-6"/>
          <w:sz w:val="23"/>
          <w:szCs w:val="23"/>
          <w:highlight w:val="yellow"/>
        </w:rPr>
        <w:t xml:space="preserve"> </w:t>
      </w:r>
    </w:p>
    <w:sectPr w:rsidR="00B973E0" w:rsidRPr="007C39C0" w:rsidSect="004C6C88">
      <w:footerReference w:type="default" r:id="rId7"/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E232C" w14:textId="77777777" w:rsidR="00A61DD2" w:rsidRDefault="00A61DD2" w:rsidP="00300279">
      <w:pPr>
        <w:spacing w:after="0" w:line="240" w:lineRule="auto"/>
      </w:pPr>
      <w:r>
        <w:separator/>
      </w:r>
    </w:p>
  </w:endnote>
  <w:endnote w:type="continuationSeparator" w:id="0">
    <w:p w14:paraId="391492E5" w14:textId="77777777" w:rsidR="00A61DD2" w:rsidRDefault="00A61DD2" w:rsidP="0030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090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EA26C53" w14:textId="67157BCA" w:rsidR="00300279" w:rsidRPr="00300279" w:rsidRDefault="00300279">
        <w:pPr>
          <w:pStyle w:val="a9"/>
          <w:jc w:val="right"/>
          <w:rPr>
            <w:sz w:val="20"/>
            <w:szCs w:val="20"/>
          </w:rPr>
        </w:pPr>
        <w:r w:rsidRPr="00300279">
          <w:rPr>
            <w:sz w:val="20"/>
            <w:szCs w:val="20"/>
          </w:rPr>
          <w:fldChar w:fldCharType="begin"/>
        </w:r>
        <w:r w:rsidRPr="00300279">
          <w:rPr>
            <w:sz w:val="20"/>
            <w:szCs w:val="20"/>
          </w:rPr>
          <w:instrText>PAGE   \* MERGEFORMAT</w:instrText>
        </w:r>
        <w:r w:rsidRPr="00300279">
          <w:rPr>
            <w:sz w:val="20"/>
            <w:szCs w:val="20"/>
          </w:rPr>
          <w:fldChar w:fldCharType="separate"/>
        </w:r>
        <w:r w:rsidR="00DF28F1">
          <w:rPr>
            <w:noProof/>
            <w:sz w:val="20"/>
            <w:szCs w:val="20"/>
          </w:rPr>
          <w:t>2</w:t>
        </w:r>
        <w:r w:rsidRPr="00300279">
          <w:rPr>
            <w:sz w:val="20"/>
            <w:szCs w:val="20"/>
          </w:rPr>
          <w:fldChar w:fldCharType="end"/>
        </w:r>
      </w:p>
    </w:sdtContent>
  </w:sdt>
  <w:p w14:paraId="47317AD0" w14:textId="77777777" w:rsidR="00300279" w:rsidRDefault="003002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787FC" w14:textId="77777777" w:rsidR="00A61DD2" w:rsidRDefault="00A61DD2" w:rsidP="00300279">
      <w:pPr>
        <w:spacing w:after="0" w:line="240" w:lineRule="auto"/>
      </w:pPr>
      <w:r>
        <w:separator/>
      </w:r>
    </w:p>
  </w:footnote>
  <w:footnote w:type="continuationSeparator" w:id="0">
    <w:p w14:paraId="4C6B0073" w14:textId="77777777" w:rsidR="00A61DD2" w:rsidRDefault="00A61DD2" w:rsidP="00300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C201B"/>
    <w:multiLevelType w:val="multilevel"/>
    <w:tmpl w:val="B2F2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D3AA4"/>
    <w:multiLevelType w:val="hybridMultilevel"/>
    <w:tmpl w:val="D6368AAC"/>
    <w:lvl w:ilvl="0" w:tplc="644EA3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7E20C5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984D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6149A5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3E8C6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8BA150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F367C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46FB9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BD0BE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CA32CAF"/>
    <w:multiLevelType w:val="multilevel"/>
    <w:tmpl w:val="EB86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BE2C3F"/>
    <w:multiLevelType w:val="multilevel"/>
    <w:tmpl w:val="3672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560EF2"/>
    <w:multiLevelType w:val="multilevel"/>
    <w:tmpl w:val="28D26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40D63"/>
    <w:multiLevelType w:val="multilevel"/>
    <w:tmpl w:val="73EA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F36A26"/>
    <w:multiLevelType w:val="multilevel"/>
    <w:tmpl w:val="28A2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552A5C"/>
    <w:multiLevelType w:val="multilevel"/>
    <w:tmpl w:val="8DF2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FAE43CA"/>
    <w:multiLevelType w:val="multilevel"/>
    <w:tmpl w:val="C410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36F70"/>
    <w:multiLevelType w:val="multilevel"/>
    <w:tmpl w:val="BDE2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60"/>
    <w:rsid w:val="0000632E"/>
    <w:rsid w:val="00011361"/>
    <w:rsid w:val="00014F54"/>
    <w:rsid w:val="00016EC7"/>
    <w:rsid w:val="0001790F"/>
    <w:rsid w:val="00021BB4"/>
    <w:rsid w:val="00023D84"/>
    <w:rsid w:val="00026E99"/>
    <w:rsid w:val="00031327"/>
    <w:rsid w:val="00041A49"/>
    <w:rsid w:val="000468F0"/>
    <w:rsid w:val="000511A8"/>
    <w:rsid w:val="000573D5"/>
    <w:rsid w:val="00065582"/>
    <w:rsid w:val="00065EA6"/>
    <w:rsid w:val="00066755"/>
    <w:rsid w:val="00066CC6"/>
    <w:rsid w:val="000737E8"/>
    <w:rsid w:val="00091580"/>
    <w:rsid w:val="000B292C"/>
    <w:rsid w:val="000B5A57"/>
    <w:rsid w:val="000C18F6"/>
    <w:rsid w:val="000C3D3A"/>
    <w:rsid w:val="000C7A4B"/>
    <w:rsid w:val="000D0877"/>
    <w:rsid w:val="000E1015"/>
    <w:rsid w:val="000E5038"/>
    <w:rsid w:val="00110EBC"/>
    <w:rsid w:val="0011270F"/>
    <w:rsid w:val="0011783D"/>
    <w:rsid w:val="00134851"/>
    <w:rsid w:val="00135A3F"/>
    <w:rsid w:val="00155125"/>
    <w:rsid w:val="00163BC6"/>
    <w:rsid w:val="00182ED7"/>
    <w:rsid w:val="00183230"/>
    <w:rsid w:val="00185007"/>
    <w:rsid w:val="0019088A"/>
    <w:rsid w:val="00190C49"/>
    <w:rsid w:val="001945B3"/>
    <w:rsid w:val="001A0DE7"/>
    <w:rsid w:val="001A0E72"/>
    <w:rsid w:val="001A124B"/>
    <w:rsid w:val="001A25F6"/>
    <w:rsid w:val="001A5BB5"/>
    <w:rsid w:val="001A628F"/>
    <w:rsid w:val="001B7A5D"/>
    <w:rsid w:val="001C6D8D"/>
    <w:rsid w:val="001D6CA9"/>
    <w:rsid w:val="002001FB"/>
    <w:rsid w:val="00245A1D"/>
    <w:rsid w:val="002539C4"/>
    <w:rsid w:val="00276601"/>
    <w:rsid w:val="00286D55"/>
    <w:rsid w:val="00290E77"/>
    <w:rsid w:val="002A0E9A"/>
    <w:rsid w:val="002A368A"/>
    <w:rsid w:val="002B43F2"/>
    <w:rsid w:val="002B5D03"/>
    <w:rsid w:val="002C7E9C"/>
    <w:rsid w:val="002D63D5"/>
    <w:rsid w:val="00300279"/>
    <w:rsid w:val="00301A50"/>
    <w:rsid w:val="003146D6"/>
    <w:rsid w:val="003212CA"/>
    <w:rsid w:val="00321E8A"/>
    <w:rsid w:val="003277EB"/>
    <w:rsid w:val="0033070A"/>
    <w:rsid w:val="00332F60"/>
    <w:rsid w:val="003374F6"/>
    <w:rsid w:val="003627A4"/>
    <w:rsid w:val="00367D86"/>
    <w:rsid w:val="00380B41"/>
    <w:rsid w:val="0038237E"/>
    <w:rsid w:val="0039200D"/>
    <w:rsid w:val="003B0C87"/>
    <w:rsid w:val="003C3218"/>
    <w:rsid w:val="003E58DA"/>
    <w:rsid w:val="003F7179"/>
    <w:rsid w:val="0040122D"/>
    <w:rsid w:val="00403ACC"/>
    <w:rsid w:val="00414109"/>
    <w:rsid w:val="00416768"/>
    <w:rsid w:val="00430BA0"/>
    <w:rsid w:val="00435FC2"/>
    <w:rsid w:val="00443BB3"/>
    <w:rsid w:val="00444EE6"/>
    <w:rsid w:val="00451DDA"/>
    <w:rsid w:val="00453125"/>
    <w:rsid w:val="004538E1"/>
    <w:rsid w:val="00474B14"/>
    <w:rsid w:val="00491F47"/>
    <w:rsid w:val="00492DAC"/>
    <w:rsid w:val="004A5E07"/>
    <w:rsid w:val="004B6E34"/>
    <w:rsid w:val="004C237B"/>
    <w:rsid w:val="004C6C88"/>
    <w:rsid w:val="004D0794"/>
    <w:rsid w:val="004E64D8"/>
    <w:rsid w:val="004F4388"/>
    <w:rsid w:val="0051663C"/>
    <w:rsid w:val="00516AF0"/>
    <w:rsid w:val="0052680E"/>
    <w:rsid w:val="00531413"/>
    <w:rsid w:val="005350E2"/>
    <w:rsid w:val="00535CD4"/>
    <w:rsid w:val="00545F3C"/>
    <w:rsid w:val="0055448A"/>
    <w:rsid w:val="00560D09"/>
    <w:rsid w:val="00565401"/>
    <w:rsid w:val="00574AAF"/>
    <w:rsid w:val="0058799F"/>
    <w:rsid w:val="00593C4E"/>
    <w:rsid w:val="00594B6C"/>
    <w:rsid w:val="005A0506"/>
    <w:rsid w:val="005A0D03"/>
    <w:rsid w:val="005B324A"/>
    <w:rsid w:val="005C4BB3"/>
    <w:rsid w:val="005C6095"/>
    <w:rsid w:val="005C7AFD"/>
    <w:rsid w:val="005D4360"/>
    <w:rsid w:val="005F643C"/>
    <w:rsid w:val="006052FF"/>
    <w:rsid w:val="00615830"/>
    <w:rsid w:val="00623939"/>
    <w:rsid w:val="00630676"/>
    <w:rsid w:val="00634499"/>
    <w:rsid w:val="00653C34"/>
    <w:rsid w:val="00664480"/>
    <w:rsid w:val="0067047C"/>
    <w:rsid w:val="0069439F"/>
    <w:rsid w:val="00694F96"/>
    <w:rsid w:val="00695A70"/>
    <w:rsid w:val="00696E6C"/>
    <w:rsid w:val="006B088D"/>
    <w:rsid w:val="006B4487"/>
    <w:rsid w:val="006C1FF3"/>
    <w:rsid w:val="006D00AE"/>
    <w:rsid w:val="006E2B7B"/>
    <w:rsid w:val="006E3273"/>
    <w:rsid w:val="006E3445"/>
    <w:rsid w:val="006E5D1F"/>
    <w:rsid w:val="007022D2"/>
    <w:rsid w:val="007063D7"/>
    <w:rsid w:val="007131C5"/>
    <w:rsid w:val="00716FD2"/>
    <w:rsid w:val="00720BEC"/>
    <w:rsid w:val="007247A6"/>
    <w:rsid w:val="007324B4"/>
    <w:rsid w:val="00733451"/>
    <w:rsid w:val="0076021B"/>
    <w:rsid w:val="00763462"/>
    <w:rsid w:val="00777981"/>
    <w:rsid w:val="007954F2"/>
    <w:rsid w:val="007B32CB"/>
    <w:rsid w:val="007C39C0"/>
    <w:rsid w:val="007C591A"/>
    <w:rsid w:val="007D0D3B"/>
    <w:rsid w:val="007D2F6E"/>
    <w:rsid w:val="007D6AF2"/>
    <w:rsid w:val="007E775F"/>
    <w:rsid w:val="007F0B8C"/>
    <w:rsid w:val="007F292C"/>
    <w:rsid w:val="007F339D"/>
    <w:rsid w:val="007F5F0E"/>
    <w:rsid w:val="007F6691"/>
    <w:rsid w:val="008001D6"/>
    <w:rsid w:val="008007EE"/>
    <w:rsid w:val="0080117B"/>
    <w:rsid w:val="00803A74"/>
    <w:rsid w:val="008079A6"/>
    <w:rsid w:val="00835603"/>
    <w:rsid w:val="00856A40"/>
    <w:rsid w:val="00865C73"/>
    <w:rsid w:val="008662B6"/>
    <w:rsid w:val="008702B6"/>
    <w:rsid w:val="008775B5"/>
    <w:rsid w:val="008925DB"/>
    <w:rsid w:val="00894F4F"/>
    <w:rsid w:val="008A55C7"/>
    <w:rsid w:val="008B0846"/>
    <w:rsid w:val="008C7451"/>
    <w:rsid w:val="008D4A2E"/>
    <w:rsid w:val="008E541F"/>
    <w:rsid w:val="008F5B9D"/>
    <w:rsid w:val="009027CF"/>
    <w:rsid w:val="0092560B"/>
    <w:rsid w:val="00933B37"/>
    <w:rsid w:val="009559EE"/>
    <w:rsid w:val="00965A19"/>
    <w:rsid w:val="0097440D"/>
    <w:rsid w:val="009809AF"/>
    <w:rsid w:val="009835AA"/>
    <w:rsid w:val="009A13BA"/>
    <w:rsid w:val="009C7550"/>
    <w:rsid w:val="009D52C9"/>
    <w:rsid w:val="009E0BE2"/>
    <w:rsid w:val="009E58E0"/>
    <w:rsid w:val="00A001C4"/>
    <w:rsid w:val="00A068C9"/>
    <w:rsid w:val="00A07FEE"/>
    <w:rsid w:val="00A122FD"/>
    <w:rsid w:val="00A2293A"/>
    <w:rsid w:val="00A37187"/>
    <w:rsid w:val="00A4549F"/>
    <w:rsid w:val="00A46692"/>
    <w:rsid w:val="00A52587"/>
    <w:rsid w:val="00A55765"/>
    <w:rsid w:val="00A57898"/>
    <w:rsid w:val="00A60520"/>
    <w:rsid w:val="00A61DD2"/>
    <w:rsid w:val="00A72137"/>
    <w:rsid w:val="00A74BF3"/>
    <w:rsid w:val="00AA3A06"/>
    <w:rsid w:val="00AD29F1"/>
    <w:rsid w:val="00AD4C4F"/>
    <w:rsid w:val="00AD50A1"/>
    <w:rsid w:val="00AD5869"/>
    <w:rsid w:val="00AF01ED"/>
    <w:rsid w:val="00AF3C36"/>
    <w:rsid w:val="00B117F2"/>
    <w:rsid w:val="00B2715A"/>
    <w:rsid w:val="00B32184"/>
    <w:rsid w:val="00B3594D"/>
    <w:rsid w:val="00B45E00"/>
    <w:rsid w:val="00B50C1C"/>
    <w:rsid w:val="00B66C25"/>
    <w:rsid w:val="00B67E16"/>
    <w:rsid w:val="00B74AA2"/>
    <w:rsid w:val="00B80387"/>
    <w:rsid w:val="00B86EFB"/>
    <w:rsid w:val="00B92FFB"/>
    <w:rsid w:val="00B973E0"/>
    <w:rsid w:val="00BB6FF7"/>
    <w:rsid w:val="00BC512A"/>
    <w:rsid w:val="00BD554F"/>
    <w:rsid w:val="00BE3C27"/>
    <w:rsid w:val="00C11966"/>
    <w:rsid w:val="00C26A64"/>
    <w:rsid w:val="00C3161E"/>
    <w:rsid w:val="00C31E35"/>
    <w:rsid w:val="00C41329"/>
    <w:rsid w:val="00C414B0"/>
    <w:rsid w:val="00C5401F"/>
    <w:rsid w:val="00C5588D"/>
    <w:rsid w:val="00C65B80"/>
    <w:rsid w:val="00C709EE"/>
    <w:rsid w:val="00C718E9"/>
    <w:rsid w:val="00C82677"/>
    <w:rsid w:val="00C84E67"/>
    <w:rsid w:val="00C944C1"/>
    <w:rsid w:val="00C95F85"/>
    <w:rsid w:val="00CA3E35"/>
    <w:rsid w:val="00CB0673"/>
    <w:rsid w:val="00CC0567"/>
    <w:rsid w:val="00CD67A8"/>
    <w:rsid w:val="00D03DE3"/>
    <w:rsid w:val="00D07269"/>
    <w:rsid w:val="00D16BEB"/>
    <w:rsid w:val="00D20BB4"/>
    <w:rsid w:val="00D269DF"/>
    <w:rsid w:val="00D35334"/>
    <w:rsid w:val="00D47343"/>
    <w:rsid w:val="00D54A59"/>
    <w:rsid w:val="00D87BB1"/>
    <w:rsid w:val="00D927FC"/>
    <w:rsid w:val="00D93694"/>
    <w:rsid w:val="00D953B1"/>
    <w:rsid w:val="00DB0206"/>
    <w:rsid w:val="00DB5456"/>
    <w:rsid w:val="00DC3CC2"/>
    <w:rsid w:val="00DC46E4"/>
    <w:rsid w:val="00DD3FF9"/>
    <w:rsid w:val="00DD48D7"/>
    <w:rsid w:val="00DF28F1"/>
    <w:rsid w:val="00E113A3"/>
    <w:rsid w:val="00E41031"/>
    <w:rsid w:val="00E41FBE"/>
    <w:rsid w:val="00E46F70"/>
    <w:rsid w:val="00E50E59"/>
    <w:rsid w:val="00E51881"/>
    <w:rsid w:val="00E66861"/>
    <w:rsid w:val="00E75DE3"/>
    <w:rsid w:val="00E763D0"/>
    <w:rsid w:val="00E76D14"/>
    <w:rsid w:val="00EB7560"/>
    <w:rsid w:val="00EE101E"/>
    <w:rsid w:val="00F601BA"/>
    <w:rsid w:val="00F679BA"/>
    <w:rsid w:val="00F87999"/>
    <w:rsid w:val="00FA3BDD"/>
    <w:rsid w:val="00FA5978"/>
    <w:rsid w:val="00FB48D1"/>
    <w:rsid w:val="00FC1B22"/>
    <w:rsid w:val="00FC4209"/>
    <w:rsid w:val="00FC712D"/>
    <w:rsid w:val="00FE1B41"/>
    <w:rsid w:val="00F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019C"/>
  <w15:chartTrackingRefBased/>
  <w15:docId w15:val="{35CF21E0-4847-4E97-A778-A1AA3843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A70"/>
  </w:style>
  <w:style w:type="paragraph" w:styleId="1">
    <w:name w:val="heading 1"/>
    <w:basedOn w:val="a"/>
    <w:link w:val="10"/>
    <w:uiPriority w:val="9"/>
    <w:qFormat/>
    <w:rsid w:val="0033070A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A5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A25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3070A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a6">
    <w:name w:val="No Spacing"/>
    <w:uiPriority w:val="1"/>
    <w:qFormat/>
    <w:rsid w:val="0033070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0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0279"/>
  </w:style>
  <w:style w:type="paragraph" w:styleId="a9">
    <w:name w:val="footer"/>
    <w:basedOn w:val="a"/>
    <w:link w:val="aa"/>
    <w:uiPriority w:val="99"/>
    <w:unhideWhenUsed/>
    <w:rsid w:val="0030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0279"/>
  </w:style>
  <w:style w:type="paragraph" w:styleId="ab">
    <w:name w:val="Normal (Web)"/>
    <w:basedOn w:val="a"/>
    <w:uiPriority w:val="99"/>
    <w:semiHidden/>
    <w:unhideWhenUsed/>
    <w:rsid w:val="004167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416768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16F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2001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63067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3067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63067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3067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306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9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Леонидовна</cp:lastModifiedBy>
  <cp:revision>6</cp:revision>
  <cp:lastPrinted>2026-02-09T01:29:00Z</cp:lastPrinted>
  <dcterms:created xsi:type="dcterms:W3CDTF">2026-02-06T10:56:00Z</dcterms:created>
  <dcterms:modified xsi:type="dcterms:W3CDTF">2026-02-20T08:25:00Z</dcterms:modified>
</cp:coreProperties>
</file>