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 xml:space="preserve">исполняющего обязанности ректора _______________________________________________ на основании приказа от ___________№____________ </w:t>
      </w:r>
      <w:r>
        <w:rPr>
          <w:rFonts w:ascii="Times New Roman" w:hAnsi="Times New Roman"/>
          <w:sz w:val="24"/>
        </w:rPr>
        <w:t xml:space="preserve"> именуемого в дальнейшем </w:t>
      </w:r>
      <w:r>
        <w:rPr>
          <w:rFonts w:ascii="Times New Roman" w:hAnsi="Times New Roman"/>
          <w:sz w:val="24"/>
        </w:rPr>
        <w:t xml:space="preserve">"Заказчик", 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приема-сдачи  в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  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   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 Заказчик  имеет  право  пересмотреть  условия  договора, предупредив   Исполнителя   за  1  месяц  до внесения  изменений  по  данному 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 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/>
        <w:rPr>
          <w:u w:val="single"/>
        </w:rPr>
      </w:pP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по Амурской </w:t>
      </w:r>
      <w:r>
        <w:rPr>
          <w:u w:val="single"/>
        </w:rPr>
        <w:t xml:space="preserve">области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2801028298.</w:t>
      </w:r>
      <w:r>
        <w:rPr>
          <w:u w:val="single"/>
        </w:rPr>
        <w:br/>
      </w:r>
      <w:r>
        <w:rPr>
          <w:u w:val="single"/>
        </w:rPr>
      </w:r>
      <w:r>
        <w:rPr>
          <w:u w:val="single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 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  (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1" w:name="_Hlk166766152"/>
      <w:r>
        <w:rPr>
          <w:rFonts w:ascii="Times New Roman" w:hAnsi="Times New Roman"/>
          <w:sz w:val="18"/>
          <w:szCs w:val="18"/>
        </w:rPr>
        <w:t xml:space="preserve">И.О. Фамилия</w:t>
      </w:r>
      <w:bookmarkEnd w:id="1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 xml:space="preserve">Подпись      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h="16838" w:orient="portrait" w:w="11906"/>
      <w:pgMar w:top="709" w:right="566" w:bottom="709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3">
    <w:name w:val="Footnote Text Char"/>
    <w:basedOn w:val="881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  <w:rPr>
      <w:sz w:val="24"/>
      <w:szCs w:val="24"/>
    </w:rPr>
  </w:style>
  <w:style w:type="character" w:styleId="881" w:default="1">
    <w:name w:val="Default Paragraph Font"/>
    <w:semiHidden/>
    <w:pPr>
      <w:pBdr/>
      <w:spacing/>
      <w:ind/>
    </w:pPr>
  </w:style>
  <w:style w:type="table" w:styleId="88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semiHidden/>
    <w:pPr>
      <w:pBdr/>
      <w:spacing/>
      <w:ind/>
    </w:pPr>
  </w:style>
  <w:style w:type="paragraph" w:styleId="884">
    <w:name w:val="Plain Text"/>
    <w:basedOn w:val="880"/>
    <w:link w:val="890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85">
    <w:name w:val="Balloon Text"/>
    <w:basedOn w:val="880"/>
    <w:link w:val="886"/>
    <w:pPr>
      <w:pBdr/>
      <w:spacing/>
      <w:ind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pPr>
      <w:pBdr/>
      <w:spacing/>
      <w:ind/>
    </w:pPr>
    <w:rPr>
      <w:rFonts w:ascii="Tahoma" w:hAnsi="Tahoma" w:cs="Tahoma"/>
      <w:sz w:val="16"/>
      <w:szCs w:val="16"/>
    </w:rPr>
  </w:style>
  <w:style w:type="paragraph" w:styleId="887">
    <w:name w:val="footnote text"/>
    <w:basedOn w:val="880"/>
    <w:link w:val="88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88" w:customStyle="1">
    <w:name w:val="Текст сноски Знак"/>
    <w:link w:val="88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89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0" w:customStyle="1">
    <w:name w:val="Текст Знак"/>
    <w:link w:val="88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5D49-59A8-4FFC-BAC1-F8DF73B8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7</cp:revision>
  <dcterms:created xsi:type="dcterms:W3CDTF">2025-06-20T04:04:00Z</dcterms:created>
  <dcterms:modified xsi:type="dcterms:W3CDTF">2025-10-30T07:50:59Z</dcterms:modified>
</cp:coreProperties>
</file>